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60" w:lineRule="atLeast"/>
        <w:ind w:left="0" w:right="0" w:firstLine="0"/>
        <w:rPr>
          <w:rFonts w:ascii="sans-serif" w:hAnsi="sans-serif" w:eastAsia="sans-serif" w:cs="sans-serif"/>
          <w:i w:val="0"/>
          <w:iCs w:val="0"/>
          <w:caps w:val="0"/>
          <w:color w:val="000000"/>
          <w:spacing w:val="0"/>
          <w:sz w:val="24"/>
          <w:szCs w:val="24"/>
        </w:rPr>
      </w:pPr>
      <w:bookmarkStart w:id="0" w:name="_GoBack"/>
      <w:r>
        <w:rPr>
          <w:rStyle w:val="5"/>
          <w:rFonts w:ascii="仿宋_GB2312" w:hAnsi="sans-serif" w:eastAsia="仿宋_GB2312" w:cs="仿宋_GB2312"/>
          <w:i w:val="0"/>
          <w:iCs w:val="0"/>
          <w:caps w:val="0"/>
          <w:color w:val="000000"/>
          <w:spacing w:val="0"/>
          <w:sz w:val="28"/>
          <w:szCs w:val="28"/>
        </w:rPr>
        <w:t>评分标准</w:t>
      </w:r>
    </w:p>
    <w:bookmarkEnd w:id="0"/>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Style w:val="5"/>
          <w:rFonts w:ascii="仿宋" w:hAnsi="仿宋" w:eastAsia="仿宋" w:cs="仿宋"/>
          <w:i w:val="0"/>
          <w:iCs w:val="0"/>
          <w:caps w:val="0"/>
          <w:color w:val="000000"/>
          <w:spacing w:val="0"/>
          <w:sz w:val="21"/>
          <w:szCs w:val="21"/>
        </w:rPr>
        <w:t>（</w:t>
      </w:r>
      <w:r>
        <w:rPr>
          <w:rStyle w:val="5"/>
          <w:rFonts w:hint="eastAsia" w:ascii="仿宋" w:hAnsi="仿宋" w:eastAsia="仿宋" w:cs="仿宋"/>
          <w:i w:val="0"/>
          <w:iCs w:val="0"/>
          <w:caps w:val="0"/>
          <w:color w:val="000000"/>
          <w:spacing w:val="0"/>
          <w:sz w:val="21"/>
          <w:szCs w:val="21"/>
        </w:rPr>
        <w:t>1）分权值</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1"/>
          <w:szCs w:val="21"/>
        </w:rPr>
        <w:t>总分为100分，评分分值分配如下：</w:t>
      </w:r>
    </w:p>
    <w:tbl>
      <w:tblPr>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05"/>
        <w:gridCol w:w="2145"/>
        <w:gridCol w:w="2265"/>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505" w:type="dxa"/>
            <w:tcBorders>
              <w:top w:val="inset" w:color="111111" w:sz="6" w:space="0"/>
              <w:left w:val="inset" w:color="111111" w:sz="6" w:space="0"/>
              <w:bottom w:val="inset" w:color="111111" w:sz="6" w:space="0"/>
              <w:right w:val="inset" w:color="111111"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评分项目</w:t>
            </w:r>
          </w:p>
        </w:tc>
        <w:tc>
          <w:tcPr>
            <w:tcW w:w="2145" w:type="dxa"/>
            <w:tcBorders>
              <w:top w:val="inset" w:color="111111" w:sz="6" w:space="0"/>
              <w:left w:val="single" w:color="auto" w:sz="6" w:space="0"/>
              <w:bottom w:val="inset" w:color="111111" w:sz="6" w:space="0"/>
              <w:right w:val="inset" w:color="111111"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商务评分</w:t>
            </w:r>
          </w:p>
        </w:tc>
        <w:tc>
          <w:tcPr>
            <w:tcW w:w="2265" w:type="dxa"/>
            <w:tcBorders>
              <w:top w:val="inset" w:color="111111" w:sz="6" w:space="0"/>
              <w:left w:val="single" w:color="auto" w:sz="6" w:space="0"/>
              <w:bottom w:val="inset" w:color="111111" w:sz="6" w:space="0"/>
              <w:right w:val="inset" w:color="111111"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技术评分</w:t>
            </w:r>
          </w:p>
        </w:tc>
        <w:tc>
          <w:tcPr>
            <w:tcW w:w="2130" w:type="dxa"/>
            <w:tcBorders>
              <w:top w:val="inset" w:color="111111" w:sz="6" w:space="0"/>
              <w:left w:val="single" w:color="auto" w:sz="6" w:space="0"/>
              <w:bottom w:val="inset" w:color="111111" w:sz="6" w:space="0"/>
              <w:right w:val="inset" w:color="111111"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价格评分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5" w:type="dxa"/>
            <w:tcBorders>
              <w:top w:val="nil"/>
              <w:left w:val="inset" w:color="111111" w:sz="6" w:space="0"/>
              <w:bottom w:val="inset" w:color="111111" w:sz="6" w:space="0"/>
              <w:right w:val="inset" w:color="111111"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分值</w:t>
            </w:r>
          </w:p>
        </w:tc>
        <w:tc>
          <w:tcPr>
            <w:tcW w:w="2145" w:type="dxa"/>
            <w:tcBorders>
              <w:top w:val="nil"/>
              <w:left w:val="single" w:color="auto" w:sz="6" w:space="0"/>
              <w:bottom w:val="inset" w:color="111111" w:sz="6" w:space="0"/>
              <w:right w:val="inset" w:color="111111"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u w:val="single"/>
                <w:bdr w:val="none" w:color="auto" w:sz="0" w:space="0"/>
              </w:rPr>
              <w:t>  45  </w:t>
            </w:r>
            <w:r>
              <w:rPr>
                <w:rFonts w:hint="eastAsia" w:ascii="仿宋" w:hAnsi="仿宋" w:eastAsia="仿宋" w:cs="仿宋"/>
                <w:i w:val="0"/>
                <w:iCs w:val="0"/>
                <w:caps w:val="0"/>
                <w:color w:val="000000"/>
                <w:spacing w:val="0"/>
                <w:sz w:val="21"/>
                <w:szCs w:val="21"/>
                <w:bdr w:val="none" w:color="auto" w:sz="0" w:space="0"/>
              </w:rPr>
              <w:t>分</w:t>
            </w:r>
          </w:p>
        </w:tc>
        <w:tc>
          <w:tcPr>
            <w:tcW w:w="2265" w:type="dxa"/>
            <w:tcBorders>
              <w:top w:val="nil"/>
              <w:left w:val="single" w:color="auto" w:sz="6" w:space="0"/>
              <w:bottom w:val="inset" w:color="111111" w:sz="6" w:space="0"/>
              <w:right w:val="inset" w:color="111111"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u w:val="single"/>
                <w:bdr w:val="none" w:color="auto" w:sz="0" w:space="0"/>
              </w:rPr>
              <w:t>  45 </w:t>
            </w:r>
            <w:r>
              <w:rPr>
                <w:rFonts w:hint="eastAsia" w:ascii="仿宋" w:hAnsi="仿宋" w:eastAsia="仿宋" w:cs="仿宋"/>
                <w:i w:val="0"/>
                <w:iCs w:val="0"/>
                <w:caps w:val="0"/>
                <w:color w:val="000000"/>
                <w:spacing w:val="0"/>
                <w:sz w:val="21"/>
                <w:szCs w:val="21"/>
                <w:bdr w:val="none" w:color="auto" w:sz="0" w:space="0"/>
              </w:rPr>
              <w:t>分</w:t>
            </w:r>
          </w:p>
        </w:tc>
        <w:tc>
          <w:tcPr>
            <w:tcW w:w="2130" w:type="dxa"/>
            <w:tcBorders>
              <w:top w:val="nil"/>
              <w:left w:val="single" w:color="auto" w:sz="6" w:space="0"/>
              <w:bottom w:val="inset" w:color="111111" w:sz="6" w:space="0"/>
              <w:right w:val="inset" w:color="111111"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u w:val="single"/>
                <w:bdr w:val="none" w:color="auto" w:sz="0" w:space="0"/>
              </w:rPr>
              <w:t>  10 </w:t>
            </w:r>
            <w:r>
              <w:rPr>
                <w:rFonts w:hint="eastAsia" w:ascii="仿宋" w:hAnsi="仿宋" w:eastAsia="仿宋" w:cs="仿宋"/>
                <w:i w:val="0"/>
                <w:iCs w:val="0"/>
                <w:caps w:val="0"/>
                <w:color w:val="000000"/>
                <w:spacing w:val="0"/>
                <w:sz w:val="21"/>
                <w:szCs w:val="21"/>
                <w:bdr w:val="none" w:color="auto" w:sz="0" w:space="0"/>
              </w:rPr>
              <w:t>分</w:t>
            </w:r>
          </w:p>
        </w:tc>
      </w:tr>
    </w:tbl>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 w:hAnsi="仿宋" w:eastAsia="仿宋" w:cs="仿宋"/>
          <w:i w:val="0"/>
          <w:iCs w:val="0"/>
          <w:caps w:val="0"/>
          <w:color w:val="000000"/>
          <w:spacing w:val="0"/>
          <w:sz w:val="21"/>
          <w:szCs w:val="21"/>
        </w:rPr>
        <w:t> </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 w:hAnsi="仿宋" w:eastAsia="仿宋" w:cs="仿宋"/>
          <w:i w:val="0"/>
          <w:iCs w:val="0"/>
          <w:caps w:val="0"/>
          <w:color w:val="000000"/>
          <w:spacing w:val="0"/>
          <w:sz w:val="21"/>
          <w:szCs w:val="21"/>
        </w:rPr>
        <w:t>（2）商务评分表</w:t>
      </w:r>
    </w:p>
    <w:tbl>
      <w:tblP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62"/>
        <w:gridCol w:w="5379"/>
        <w:gridCol w:w="1202"/>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1560" w:type="dxa"/>
            <w:tcBorders>
              <w:top w:val="single" w:color="auto" w:sz="12" w:space="0"/>
              <w:left w:val="single" w:color="auto" w:sz="12"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评审项目</w:t>
            </w:r>
          </w:p>
        </w:tc>
        <w:tc>
          <w:tcPr>
            <w:tcW w:w="5370" w:type="dxa"/>
            <w:tcBorders>
              <w:top w:val="single" w:color="auto" w:sz="12"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评分标准</w:t>
            </w:r>
          </w:p>
        </w:tc>
        <w:tc>
          <w:tcPr>
            <w:tcW w:w="1200" w:type="dxa"/>
            <w:tcBorders>
              <w:top w:val="single" w:color="auto" w:sz="12"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分值</w:t>
            </w:r>
          </w:p>
        </w:tc>
        <w:tc>
          <w:tcPr>
            <w:tcW w:w="1215" w:type="dxa"/>
            <w:tcBorders>
              <w:top w:val="single" w:color="auto" w:sz="12" w:space="0"/>
              <w:left w:val="single" w:color="auto" w:sz="6" w:space="0"/>
              <w:bottom w:val="single" w:color="auto" w:sz="6" w:space="0"/>
              <w:right w:val="single" w:color="auto" w:sz="12"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60" w:type="dxa"/>
            <w:vMerge w:val="restart"/>
            <w:tcBorders>
              <w:top w:val="nil"/>
              <w:left w:val="single" w:color="auto" w:sz="12"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商务响应</w:t>
            </w:r>
          </w:p>
        </w:tc>
        <w:tc>
          <w:tcPr>
            <w:tcW w:w="5370" w:type="dxa"/>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5"/>
                <w:rFonts w:hint="eastAsia" w:ascii="仿宋" w:hAnsi="仿宋" w:eastAsia="仿宋" w:cs="仿宋"/>
                <w:i w:val="0"/>
                <w:iCs w:val="0"/>
                <w:caps w:val="0"/>
                <w:color w:val="000000"/>
                <w:spacing w:val="0"/>
                <w:sz w:val="21"/>
                <w:szCs w:val="21"/>
                <w:bdr w:val="none" w:color="auto" w:sz="0" w:space="0"/>
              </w:rPr>
              <w:t>商务响应程度（3分）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仿宋" w:hAnsi="仿宋" w:eastAsia="仿宋" w:cs="仿宋"/>
                <w:i w:val="0"/>
                <w:iCs w:val="0"/>
                <w:caps w:val="0"/>
                <w:color w:val="000000"/>
                <w:spacing w:val="0"/>
                <w:sz w:val="21"/>
                <w:szCs w:val="21"/>
                <w:bdr w:val="none" w:color="auto" w:sz="0" w:space="0"/>
              </w:rPr>
              <w:t>响应供应商对用户需求书商务要求的响应情况：完全满足并优于采购需求，得3分；每有一项不完全满足采购需求扣1分，该项分值扣完为止。</w:t>
            </w:r>
          </w:p>
        </w:tc>
        <w:tc>
          <w:tcPr>
            <w:tcW w:w="1200" w:type="dxa"/>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3</w:t>
            </w:r>
          </w:p>
        </w:tc>
        <w:tc>
          <w:tcPr>
            <w:tcW w:w="1215" w:type="dxa"/>
            <w:tcBorders>
              <w:top w:val="nil"/>
              <w:left w:val="single" w:color="auto" w:sz="6" w:space="0"/>
              <w:bottom w:val="single" w:color="auto" w:sz="6" w:space="0"/>
              <w:right w:val="single" w:color="auto" w:sz="12" w:space="0"/>
            </w:tcBorders>
            <w:shd w:val="clear"/>
            <w:tcMar>
              <w:top w:w="30" w:type="dxa"/>
              <w:left w:w="105" w:type="dxa"/>
              <w:bottom w:w="3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60" w:type="dxa"/>
            <w:vMerge w:val="continue"/>
            <w:tcBorders>
              <w:top w:val="nil"/>
              <w:left w:val="single" w:color="auto" w:sz="12" w:space="0"/>
              <w:bottom w:val="single" w:color="auto" w:sz="6" w:space="0"/>
              <w:right w:val="single" w:color="auto" w:sz="6" w:space="0"/>
            </w:tcBorders>
            <w:shd w:val="clear"/>
            <w:tcMar>
              <w:top w:w="30" w:type="dxa"/>
              <w:left w:w="105" w:type="dxa"/>
              <w:bottom w:w="3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537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5"/>
                <w:rFonts w:hint="eastAsia" w:ascii="仿宋" w:hAnsi="仿宋" w:eastAsia="仿宋" w:cs="仿宋"/>
                <w:i w:val="0"/>
                <w:iCs w:val="0"/>
                <w:caps w:val="0"/>
                <w:color w:val="000000"/>
                <w:spacing w:val="0"/>
                <w:sz w:val="21"/>
                <w:szCs w:val="21"/>
                <w:bdr w:val="none" w:color="auto" w:sz="0" w:space="0"/>
              </w:rPr>
              <w:t>响应供应商有关资质情况 （4分）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color w:val="000000"/>
                <w:spacing w:val="0"/>
                <w:sz w:val="21"/>
                <w:szCs w:val="21"/>
                <w:bdr w:val="none" w:color="auto" w:sz="0" w:space="0"/>
              </w:rPr>
              <w:t>响应供应商具有互联网新闻信息服务许可证、网络出版服务许可证（网络文化经营许可证、增值电信业务经营许可证、营业执照或其他专业技能方面的证书等等，按有的证书填写两个），每提供一份证书得2分，满分4分。注：需提供上述有效期内的证明复印件加盖公章，不提供不得分。</w:t>
            </w:r>
          </w:p>
        </w:tc>
        <w:tc>
          <w:tcPr>
            <w:tcW w:w="120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4</w:t>
            </w:r>
          </w:p>
        </w:tc>
        <w:tc>
          <w:tcPr>
            <w:tcW w:w="1215" w:type="dxa"/>
            <w:tcBorders>
              <w:top w:val="single" w:color="auto" w:sz="6" w:space="0"/>
              <w:left w:val="single" w:color="auto" w:sz="6" w:space="0"/>
              <w:bottom w:val="single" w:color="auto" w:sz="6" w:space="0"/>
              <w:right w:val="single" w:color="auto" w:sz="12" w:space="0"/>
            </w:tcBorders>
            <w:shd w:val="clear"/>
            <w:tcMar>
              <w:top w:w="30" w:type="dxa"/>
              <w:left w:w="105" w:type="dxa"/>
              <w:bottom w:w="3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60" w:type="dxa"/>
            <w:vMerge w:val="continue"/>
            <w:tcBorders>
              <w:top w:val="nil"/>
              <w:left w:val="single" w:color="auto" w:sz="12" w:space="0"/>
              <w:bottom w:val="single" w:color="auto" w:sz="6" w:space="0"/>
              <w:right w:val="single" w:color="auto" w:sz="6" w:space="0"/>
            </w:tcBorders>
            <w:shd w:val="clear"/>
            <w:tcMar>
              <w:top w:w="30" w:type="dxa"/>
              <w:left w:w="105" w:type="dxa"/>
              <w:bottom w:w="3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537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i w:val="0"/>
                <w:iCs w:val="0"/>
                <w:caps w:val="0"/>
                <w:color w:val="000000"/>
                <w:spacing w:val="0"/>
                <w:sz w:val="21"/>
                <w:szCs w:val="21"/>
                <w:bdr w:val="none" w:color="auto" w:sz="0" w:space="0"/>
              </w:rPr>
              <w:t>响应供应商的商业信誉（3分）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color w:val="000000"/>
                <w:spacing w:val="0"/>
                <w:sz w:val="21"/>
                <w:szCs w:val="21"/>
                <w:bdr w:val="none" w:color="auto" w:sz="0" w:space="0"/>
              </w:rPr>
              <w:t>响应供应商具有良好的商业信誉，未被列入法院、市场监督管理部门、税务部门、银行认定的失信名单，未有相关犯罪记录。：完全满足得3分；每有一项不完全满足扣1分，该项分值扣完为止。注：需提供未被列入“信用中国”网站(www.creditchina.gov.cn)“记录失信被执行人或重大税收违法案件当事人名单（税收违法黑名单）”记录名单报告；提供不处于中国政府采购网(www.ccgp.gov.cn)“政府采购严重违法失信行为信息记录”中的禁止参加政府采购活动期间的记录截图。（以采购方于磋商截止日在“信用中国”网站（www.creditchina.gov.cn）及中国政府采购网（http://www.ccgp.gov.cn/）查询结果为准，如查询结果未显示存在失信记录，视为评审时未发现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仿宋" w:hAnsi="仿宋" w:eastAsia="仿宋" w:cs="仿宋"/>
                <w:i w:val="0"/>
                <w:iCs w:val="0"/>
                <w:caps w:val="0"/>
                <w:color w:val="000000"/>
                <w:spacing w:val="0"/>
                <w:sz w:val="21"/>
                <w:szCs w:val="21"/>
                <w:bdr w:val="none" w:color="auto" w:sz="0" w:space="0"/>
              </w:rPr>
              <w:t>（如有以下“同类项目业绩情况”的正面评价提供，可将上方内容替换为：响应供应商在2020年1月1日（以合同签订时间为准）起至本项目投标文件截止之日内，以下有效的“同类项目业绩”中 ，获得主办单位发出的表扬信或感谢信或满意度正面评价证明等书面凭证 ，每提供一个凭证得0.5或1分（按实际有的数量决定分值），本项满分3分。 注：需提供相关证明材料复印件加盖公章，不提供不得分。）</w:t>
            </w:r>
          </w:p>
        </w:tc>
        <w:tc>
          <w:tcPr>
            <w:tcW w:w="120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3</w:t>
            </w:r>
          </w:p>
        </w:tc>
        <w:tc>
          <w:tcPr>
            <w:tcW w:w="1215" w:type="dxa"/>
            <w:tcBorders>
              <w:top w:val="single" w:color="auto" w:sz="6" w:space="0"/>
              <w:left w:val="single" w:color="auto" w:sz="6" w:space="0"/>
              <w:bottom w:val="single" w:color="auto" w:sz="6" w:space="0"/>
              <w:right w:val="single" w:color="auto" w:sz="12" w:space="0"/>
            </w:tcBorders>
            <w:shd w:val="clear"/>
            <w:tcMar>
              <w:top w:w="30" w:type="dxa"/>
              <w:left w:w="105" w:type="dxa"/>
              <w:bottom w:w="3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60" w:type="dxa"/>
            <w:vMerge w:val="restart"/>
            <w:tcBorders>
              <w:top w:val="single" w:color="auto" w:sz="6" w:space="0"/>
              <w:left w:val="single" w:color="auto" w:sz="12"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服务团队</w:t>
            </w:r>
          </w:p>
        </w:tc>
        <w:tc>
          <w:tcPr>
            <w:tcW w:w="537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5"/>
                <w:rFonts w:hint="eastAsia" w:ascii="仿宋" w:hAnsi="仿宋" w:eastAsia="仿宋" w:cs="仿宋"/>
                <w:i w:val="0"/>
                <w:iCs w:val="0"/>
                <w:caps w:val="0"/>
                <w:color w:val="000000"/>
                <w:spacing w:val="0"/>
                <w:sz w:val="21"/>
                <w:szCs w:val="21"/>
                <w:bdr w:val="none" w:color="auto" w:sz="0" w:space="0"/>
              </w:rPr>
              <w:t>项目经理（3分）</w:t>
            </w:r>
            <w:r>
              <w:rPr>
                <w:rFonts w:hint="eastAsia" w:ascii="仿宋" w:hAnsi="仿宋" w:eastAsia="仿宋" w:cs="仿宋"/>
                <w:i w:val="0"/>
                <w:iCs w:val="0"/>
                <w:caps w:val="0"/>
                <w:color w:val="000000"/>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1.具备新闻、中文、传媒类专业本科或以上学历，得1分；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2.具有主流新闻媒体从业经验，得2分。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（注：提供学历证书复印件或学信网查询截图；提供近半年任意一个月的在投标单位缴纳社保的证明复印件或单位代缴个人所得税税单；新闻从业工作证明等依据，不提供不得分。）</w:t>
            </w:r>
          </w:p>
        </w:tc>
        <w:tc>
          <w:tcPr>
            <w:tcW w:w="120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3</w:t>
            </w:r>
          </w:p>
        </w:tc>
        <w:tc>
          <w:tcPr>
            <w:tcW w:w="1215" w:type="dxa"/>
            <w:tcBorders>
              <w:top w:val="single" w:color="auto" w:sz="6" w:space="0"/>
              <w:left w:val="single" w:color="auto" w:sz="6" w:space="0"/>
              <w:bottom w:val="single" w:color="auto" w:sz="6" w:space="0"/>
              <w:right w:val="single" w:color="auto" w:sz="12" w:space="0"/>
            </w:tcBorders>
            <w:shd w:val="clear"/>
            <w:tcMar>
              <w:top w:w="30" w:type="dxa"/>
              <w:left w:w="105" w:type="dxa"/>
              <w:bottom w:w="3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60" w:type="dxa"/>
            <w:vMerge w:val="continue"/>
            <w:tcBorders>
              <w:top w:val="single" w:color="auto" w:sz="6" w:space="0"/>
              <w:left w:val="single" w:color="auto" w:sz="12" w:space="0"/>
              <w:bottom w:val="single" w:color="auto" w:sz="6" w:space="0"/>
              <w:right w:val="single" w:color="auto" w:sz="6" w:space="0"/>
            </w:tcBorders>
            <w:shd w:val="clear"/>
            <w:tcMar>
              <w:top w:w="30" w:type="dxa"/>
              <w:left w:w="105" w:type="dxa"/>
              <w:bottom w:w="3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537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5"/>
                <w:rFonts w:hint="eastAsia" w:ascii="仿宋" w:hAnsi="仿宋" w:eastAsia="仿宋" w:cs="仿宋"/>
                <w:i w:val="0"/>
                <w:iCs w:val="0"/>
                <w:caps w:val="0"/>
                <w:color w:val="000000"/>
                <w:spacing w:val="0"/>
                <w:sz w:val="21"/>
                <w:szCs w:val="21"/>
                <w:bdr w:val="none" w:color="auto" w:sz="0" w:space="0"/>
              </w:rPr>
              <w:t>其他人员（7分）：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1.拟安排的团队成员架构（除项目经理外含2名编辑、1名美工设计、1名摄影师、1名策划专员），不少于5人的，得2分，少于5人的不得分；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2.团队成员中（除项目经理外）每有1名具有新闻、中文、传媒类、艺术设计、摄影摄像等相关专业本科学历或以上学历的人员得1分，最高得3分；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3.团队成员中有曾在主流媒体从事宣传工作经验的，每提供1个证明得1分，最高得2分。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注：供应商应提供项目团队架构，以及核心主创人员的提供学历证书复印件或学信网查询截图；提供近半年任意一个月的在投标单位缴纳社保的证明复印件或单位代缴个人所得税税单；提供相关工作经验证明等依据，不提供不得分。）</w:t>
            </w:r>
          </w:p>
        </w:tc>
        <w:tc>
          <w:tcPr>
            <w:tcW w:w="120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7</w:t>
            </w:r>
          </w:p>
        </w:tc>
        <w:tc>
          <w:tcPr>
            <w:tcW w:w="1215" w:type="dxa"/>
            <w:tcBorders>
              <w:top w:val="single" w:color="auto" w:sz="6" w:space="0"/>
              <w:left w:val="single" w:color="auto" w:sz="6" w:space="0"/>
              <w:bottom w:val="single" w:color="auto" w:sz="6" w:space="0"/>
              <w:right w:val="single" w:color="auto" w:sz="12" w:space="0"/>
            </w:tcBorders>
            <w:shd w:val="clear"/>
            <w:tcMar>
              <w:top w:w="30" w:type="dxa"/>
              <w:left w:w="105" w:type="dxa"/>
              <w:bottom w:w="3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60" w:type="dxa"/>
            <w:tcBorders>
              <w:top w:val="single" w:color="auto" w:sz="6" w:space="0"/>
              <w:left w:val="single" w:color="auto" w:sz="12"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同类项目业绩情况</w:t>
            </w:r>
          </w:p>
        </w:tc>
        <w:tc>
          <w:tcPr>
            <w:tcW w:w="537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5"/>
                <w:rFonts w:hint="eastAsia" w:ascii="仿宋" w:hAnsi="仿宋" w:eastAsia="仿宋" w:cs="仿宋"/>
                <w:i w:val="0"/>
                <w:iCs w:val="0"/>
                <w:caps w:val="0"/>
                <w:color w:val="000000"/>
                <w:spacing w:val="0"/>
                <w:sz w:val="21"/>
                <w:szCs w:val="21"/>
                <w:bdr w:val="none" w:color="auto" w:sz="0" w:space="0"/>
              </w:rPr>
              <w:t>评审内容（15分）：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投标人在2020年1月1日（以合同签订时间为准）起至本项目投标文件截止之日内，具备以下相关项目服务经验的，视为具备同类项目业绩：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1.为省级及以上政府部门/企事业单位/媒体提供过内容制作服务的，每提供1个证明得3分，最高得9分；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2.为市级政府部门/企事业单位/媒体提供过内容制作服务的，每提供1个证明得2分，最高得4分；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3.为区级政府部门/企事业单位/媒体提供过内容制作服务的，提供1个证明得1分，最高得2分；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（注：提供合作合同关键页或者能证明作为承办单位的函件等材料，没有提供证明材料或者评委无法认定的不得分。）</w:t>
            </w:r>
          </w:p>
        </w:tc>
        <w:tc>
          <w:tcPr>
            <w:tcW w:w="120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15</w:t>
            </w:r>
          </w:p>
        </w:tc>
        <w:tc>
          <w:tcPr>
            <w:tcW w:w="1215" w:type="dxa"/>
            <w:tcBorders>
              <w:top w:val="single" w:color="auto" w:sz="6" w:space="0"/>
              <w:left w:val="single" w:color="auto" w:sz="6" w:space="0"/>
              <w:bottom w:val="single" w:color="auto" w:sz="6" w:space="0"/>
              <w:right w:val="single" w:color="auto" w:sz="12" w:space="0"/>
            </w:tcBorders>
            <w:shd w:val="clear"/>
            <w:tcMar>
              <w:top w:w="30" w:type="dxa"/>
              <w:left w:w="105" w:type="dxa"/>
              <w:bottom w:w="3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60" w:type="dxa"/>
            <w:tcBorders>
              <w:top w:val="single" w:color="auto" w:sz="6" w:space="0"/>
              <w:left w:val="single" w:color="auto" w:sz="12"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项目宣传经验</w:t>
            </w:r>
          </w:p>
        </w:tc>
        <w:tc>
          <w:tcPr>
            <w:tcW w:w="537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5"/>
                <w:rFonts w:hint="eastAsia" w:ascii="仿宋" w:hAnsi="仿宋" w:eastAsia="仿宋" w:cs="仿宋"/>
                <w:i w:val="0"/>
                <w:iCs w:val="0"/>
                <w:caps w:val="0"/>
                <w:color w:val="000000"/>
                <w:spacing w:val="0"/>
                <w:sz w:val="21"/>
                <w:szCs w:val="21"/>
                <w:bdr w:val="none" w:color="auto" w:sz="0" w:space="0"/>
              </w:rPr>
              <w:t>评审内容（10分）：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投标人在2020年1月1日（以合同签订时间为准）起至本项目投标文件截止之日内，具备以下相关项目服务经验的，视为具备项目业绩：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1.具有省级项目宣传运营项目经验的（含微信或微博等），每提供1个证明得5分，最高得5分；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2.具有市级项目宣传运营项目经验的（含微信或微博等），每提供1个证明得3分，最高得3分；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i w:val="0"/>
                <w:iCs w:val="0"/>
                <w:caps w:val="0"/>
                <w:color w:val="000000"/>
                <w:spacing w:val="0"/>
                <w:sz w:val="21"/>
                <w:szCs w:val="21"/>
                <w:bdr w:val="none" w:color="auto" w:sz="0" w:space="0"/>
              </w:rPr>
              <w:t>3.投标人拥有新媒体/自媒体矩阵平台，并获得过市级或者市级以上奖项，每提供1个证明得2分，最高得2分。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（注：提供合作合同关键页或者能证明作为承办单位的函件，第3项需提供奖项证书等材料，没有提供证明材料或者评委无法认定的不得分）</w:t>
            </w:r>
          </w:p>
        </w:tc>
        <w:tc>
          <w:tcPr>
            <w:tcW w:w="120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10</w:t>
            </w:r>
          </w:p>
        </w:tc>
        <w:tc>
          <w:tcPr>
            <w:tcW w:w="1215" w:type="dxa"/>
            <w:tcBorders>
              <w:top w:val="single" w:color="auto" w:sz="6" w:space="0"/>
              <w:left w:val="single" w:color="auto" w:sz="6" w:space="0"/>
              <w:bottom w:val="single" w:color="auto" w:sz="6" w:space="0"/>
              <w:right w:val="single" w:color="auto" w:sz="12" w:space="0"/>
            </w:tcBorders>
            <w:shd w:val="clear"/>
            <w:tcMar>
              <w:top w:w="30" w:type="dxa"/>
              <w:left w:w="105" w:type="dxa"/>
              <w:bottom w:w="3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560" w:type="dxa"/>
            <w:tcBorders>
              <w:top w:val="single" w:color="auto" w:sz="6" w:space="0"/>
              <w:left w:val="single" w:color="auto" w:sz="12" w:space="0"/>
              <w:bottom w:val="single" w:color="auto" w:sz="12"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合    计</w:t>
            </w:r>
          </w:p>
        </w:tc>
        <w:tc>
          <w:tcPr>
            <w:tcW w:w="7785" w:type="dxa"/>
            <w:gridSpan w:val="3"/>
            <w:tcBorders>
              <w:top w:val="single" w:color="auto" w:sz="6" w:space="0"/>
              <w:left w:val="single" w:color="auto" w:sz="6" w:space="0"/>
              <w:bottom w:val="single" w:color="auto" w:sz="12" w:space="0"/>
              <w:right w:val="single" w:color="auto" w:sz="12" w:space="0"/>
            </w:tcBorders>
            <w:shd w:val="clear"/>
            <w:tcMar>
              <w:top w:w="30" w:type="dxa"/>
              <w:left w:w="105" w:type="dxa"/>
              <w:bottom w:w="3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 w:right="0"/>
              <w:jc w:val="center"/>
            </w:pPr>
            <w:r>
              <w:rPr>
                <w:rFonts w:hint="eastAsia" w:ascii="仿宋" w:hAnsi="仿宋" w:eastAsia="仿宋" w:cs="仿宋"/>
                <w:i w:val="0"/>
                <w:iCs w:val="0"/>
                <w:caps w:val="0"/>
                <w:color w:val="000000"/>
                <w:spacing w:val="0"/>
                <w:sz w:val="21"/>
                <w:szCs w:val="21"/>
                <w:bdr w:val="none" w:color="auto" w:sz="0" w:space="0"/>
              </w:rPr>
              <w:t>45分</w:t>
            </w:r>
          </w:p>
        </w:tc>
      </w:tr>
    </w:tbl>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 w:hAnsi="仿宋" w:eastAsia="仿宋" w:cs="仿宋"/>
          <w:i w:val="0"/>
          <w:iCs w:val="0"/>
          <w:caps w:val="0"/>
          <w:color w:val="000000"/>
          <w:spacing w:val="0"/>
          <w:sz w:val="21"/>
          <w:szCs w:val="21"/>
        </w:rPr>
        <w:t> </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 w:hAnsi="仿宋" w:eastAsia="仿宋" w:cs="仿宋"/>
          <w:i w:val="0"/>
          <w:iCs w:val="0"/>
          <w:caps w:val="0"/>
          <w:color w:val="000000"/>
          <w:spacing w:val="0"/>
          <w:sz w:val="21"/>
          <w:szCs w:val="21"/>
        </w:rPr>
        <w:t>（3）技术评分表</w:t>
      </w:r>
    </w:p>
    <w:tbl>
      <w:tblPr>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83"/>
        <w:gridCol w:w="5345"/>
        <w:gridCol w:w="1183"/>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1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评审分项</w:t>
            </w:r>
          </w:p>
        </w:tc>
        <w:tc>
          <w:tcPr>
            <w:tcW w:w="53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评分细则</w:t>
            </w:r>
          </w:p>
        </w:tc>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分值</w:t>
            </w:r>
          </w:p>
        </w:tc>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仿宋" w:hAnsi="仿宋" w:eastAsia="仿宋" w:cs="仿宋"/>
                <w:i w:val="0"/>
                <w:iCs w:val="0"/>
                <w:caps w:val="0"/>
                <w:color w:val="000000"/>
                <w:spacing w:val="0"/>
                <w:sz w:val="21"/>
                <w:szCs w:val="21"/>
                <w:bdr w:val="none" w:color="auto" w:sz="0" w:space="0"/>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14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color w:val="000000"/>
                <w:spacing w:val="0"/>
                <w:sz w:val="21"/>
                <w:szCs w:val="21"/>
                <w:bdr w:val="none" w:color="auto" w:sz="0" w:space="0"/>
              </w:rPr>
              <w:t>服务需求响应</w:t>
            </w:r>
          </w:p>
        </w:tc>
        <w:tc>
          <w:tcPr>
            <w:tcW w:w="53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供应商对用户需求书服务内容及要求（原创推文撰写、图片拍摄及修片、视频制作、美工设计、运营工作文档）的响应程度。</w:t>
            </w:r>
          </w:p>
        </w:tc>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10</w:t>
            </w:r>
          </w:p>
        </w:tc>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14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color w:val="000000"/>
                <w:spacing w:val="0"/>
                <w:sz w:val="21"/>
                <w:szCs w:val="21"/>
                <w:bdr w:val="none" w:color="auto" w:sz="0" w:space="0"/>
              </w:rPr>
              <w:t>对项目需求的理解程度</w:t>
            </w:r>
          </w:p>
        </w:tc>
        <w:tc>
          <w:tcPr>
            <w:tcW w:w="53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color w:val="000000"/>
                <w:spacing w:val="0"/>
                <w:sz w:val="21"/>
                <w:szCs w:val="21"/>
                <w:bdr w:val="none" w:color="auto" w:sz="0" w:space="0"/>
              </w:rPr>
              <w:t>供应商的方案是否把握项目目标，能够结合有关政策，提出项目运营思路和原则，对项目的重难点、关键点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color w:val="000000"/>
                <w:spacing w:val="0"/>
                <w:sz w:val="21"/>
                <w:szCs w:val="21"/>
                <w:bdr w:val="none" w:color="auto" w:sz="0" w:space="0"/>
              </w:rPr>
              <w:t>分析是否准确，是否对项目的要求做出响应等进行综合评审。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对项目的认识、了解、理解深刻，能够对项目重难点分析及解决方案进行正确和合理阐述，完全满足采购需求，得5分；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对项目的认识、了解、理解较深刻，能够对项目重难点分析及解决方案分析较正确、合理，基本满足采购需求，得3分；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对项目的认识、了解、理解一般，对项目重难点分析及解决方案分析一般，不能完全满足采购需求，得1分；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其他情况不得分。</w:t>
            </w:r>
          </w:p>
        </w:tc>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5</w:t>
            </w:r>
          </w:p>
        </w:tc>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14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color w:val="000000"/>
                <w:spacing w:val="0"/>
                <w:sz w:val="21"/>
                <w:szCs w:val="21"/>
                <w:bdr w:val="none" w:color="auto" w:sz="0" w:space="0"/>
              </w:rPr>
              <w:t>项目总体实施方案</w:t>
            </w:r>
          </w:p>
        </w:tc>
        <w:tc>
          <w:tcPr>
            <w:tcW w:w="53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根据供应商的实施方案措施的完整性、可行性和针对性，是否能够保证本项目的顺利实施，进度控制关键线路清晰、准确，进度计划满足磋商文件要求等进行综合评审。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方案全面可行，完全满足并优于采购需求，得10分；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方案较全面可行，基本满足采购需求，得7分；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方案的可行性一般，不能完全满足采购需求，得3分；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其他情况不得分。</w:t>
            </w:r>
          </w:p>
        </w:tc>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10</w:t>
            </w:r>
          </w:p>
        </w:tc>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4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项目详细计划进度表</w:t>
            </w:r>
          </w:p>
        </w:tc>
        <w:tc>
          <w:tcPr>
            <w:tcW w:w="53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供应商需制定周密可靠的详细计划进度表，至少包含但不限于以下内容：项目工作开展程序、工作开展安排的紧凑性，人员分工的明确、合理性，人员工作职责及工作流程的完善性等有关内容。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计划全面可行，完全满足并优于采购需求，得10分；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计划较全面可行，基本满足采购需求，得7分；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i w:val="0"/>
                <w:iCs w:val="0"/>
                <w:caps w:val="0"/>
                <w:color w:val="000000"/>
                <w:spacing w:val="0"/>
                <w:sz w:val="21"/>
                <w:szCs w:val="21"/>
                <w:bdr w:val="none" w:color="auto" w:sz="0" w:space="0"/>
              </w:rPr>
              <w:t>计划的可行性一般，不能完全满足采购需求，得3分；其他情况不得分。</w:t>
            </w:r>
          </w:p>
        </w:tc>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i w:val="0"/>
                <w:iCs w:val="0"/>
                <w:caps w:val="0"/>
                <w:color w:val="000000"/>
                <w:spacing w:val="0"/>
                <w:sz w:val="21"/>
                <w:szCs w:val="21"/>
                <w:bdr w:val="none" w:color="auto" w:sz="0" w:space="0"/>
              </w:rPr>
              <w:t>10</w:t>
            </w:r>
          </w:p>
        </w:tc>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00101"/>
    <w:rsid w:val="1AC0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2024-04-23T06:37:00Z</dcterms:created>
  <dc:creator>lvyin</dc:creator>
  <cp:lastModifiedBy>lvyin</cp:lastModifiedBy>
  <dcterms:modified xsi:type="dcterms:W3CDTF">2024-04-23T06:38:06Z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36CD6DF504C744CEAF2980B272452CF2</vt:lpwstr>
  </property>
</Properties>
</file>